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148</w:t>
      </w:r>
    </w:p>
    <w:p>
      <w:r>
        <w:t>Bundesgericht (BGE), 2009-12-07, FR</w:t>
      </w:r>
    </w:p>
    <w:p>
      <w:r>
        <w:rPr>
          <w:b/>
        </w:rPr>
        <w:t xml:space="preserve">Quelle: </w:t>
      </w:r>
      <w:r>
        <w:t>https://mcp.opencaselaw.ch/entscheid/bge_136 III 148</w:t>
      </w:r>
    </w:p>
    <w:p>
      <w:r>
        <w:t>FR: ATF 136 III 148</w:t>
      </w:r>
    </w:p>
    <w:p>
      <w:r>
        <w:t>IT: DTF 136 III 148</w:t>
      </w:r>
    </w:p>
    <w:p>
      <w:pPr>
        <w:pStyle w:val="Heading2"/>
      </w:pPr>
      <w:r>
        <w:t>Regeste</w:t>
      </w:r>
    </w:p>
    <w:p>
      <w:r>
        <w:t>Regeste Verantwortlichkeit der Verwaltungsräte; Klage der Gläubigergemeinschaft; Verrechnungseinrede (Art. 120 und 757 OR, Art. 260 SchKG). Klage der Gläubigergemeinschaft (E. 2.3). Die beklagte Partei kann im Verantwortlichkeitsprozess mit Forderungen verrechnen, die ihr im Zeitpunkt der Konkurseröffnung gegenüber der konkursiten Gesellschaft zustanden (E. 2.4 und 2.5).</w:t>
      </w:r>
    </w:p>
    <w:p>
      <w:pPr>
        <w:pStyle w:val="Heading2"/>
      </w:pPr>
      <w:r>
        <w:t>Erwägungen</w:t>
      </w:r>
    </w:p>
    <w:p>
      <w:r>
        <w:rPr>
          <w:b/>
        </w:rPr>
        <w:t>E. 22</w:t>
      </w:r>
    </w:p>
    <w:p>
      <w:r>
        <w:t>et 28 ad art. 757 CO ; HARALD BÄRTSCHI, Verantwortlichkeit im Aktienrecht, 2001, p. 184 ss). Cet argument tombe à faux puisque la possibilité de compenser enseignée par celle-ci est précisément affirmée par la jurisprudence précitée. L'administrateur était donc en droit d'opposer en compensation à la créance invoquée par le recourant sa propre créance personnelle contre la société dès lors que celle-ci était née avant la faillite. Le recourant tente certes de soutenir que l'administrateur aurait fait grossir sa créance en connaissance de l'insolvabilité (cf. art. 214 LP ), mais cette argumentation repose sur un état de fait qui diverge de celui contenu dans la décision attaquée, ce qui n'est pas admissible ( art. 105 al. 1 LTF ). Ainsi, la cour cantonale n'a pas violé le droit fédéral en concluant que la créance invoquée par le recourant était entièrement compensée par la créance de l'administrateur contre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